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60" w:type="dxa"/>
        <w:tblInd w:w="98" w:type="dxa"/>
        <w:tblLook w:val="04A0"/>
      </w:tblPr>
      <w:tblGrid>
        <w:gridCol w:w="3400"/>
        <w:gridCol w:w="1283"/>
        <w:gridCol w:w="1283"/>
        <w:gridCol w:w="1618"/>
        <w:gridCol w:w="905"/>
        <w:gridCol w:w="894"/>
        <w:gridCol w:w="1231"/>
        <w:gridCol w:w="701"/>
        <w:gridCol w:w="1500"/>
        <w:gridCol w:w="1656"/>
        <w:gridCol w:w="3496"/>
        <w:gridCol w:w="387"/>
      </w:tblGrid>
      <w:tr w:rsidR="000C5621" w:rsidRPr="000C5621" w:rsidTr="000C5621">
        <w:trPr>
          <w:trHeight w:val="555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Производительность, кВт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Номинальная мощность (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охл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.), кВт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 воздуха, м3/ч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Уровень шума, дБ (A)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Габариты блока, 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мм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 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ШхВхГ</w:t>
            </w:r>
            <w:proofErr w:type="spellEnd"/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Вес нетто, 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Подключение электропитания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Рекомендованная розничная цена (РРЦ), руб. 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90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охл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нагр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9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БЫТОВЫЕ КОНДИЦИОНЕРЫ (RAC)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  <w:tr w:rsidR="000C5621" w:rsidRPr="000C5621" w:rsidTr="000C5621">
        <w:trPr>
          <w:trHeight w:val="48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СПЛИТ-СИСТЕМЫ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 xml:space="preserve"> НАСТЕННОГО ТИПА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  <w:tr w:rsidR="000C5621" w:rsidRPr="000C5621" w:rsidTr="000C5621">
        <w:trPr>
          <w:trHeight w:val="54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Сплит-системы</w:t>
            </w:r>
            <w:proofErr w:type="spellEnd"/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 xml:space="preserve"> ON/OFF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32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Cплит-системы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настенного типа серии FOREST ON/OFF,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класса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компрессор GMCC или HITACHI, 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возможность установки зимнего комплекта,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фотокаталический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тонкой очистки, функция обнаружения утечки хладагента, функция любимый режим, возможность управления кондиционером по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Wi-Fi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(опция), ИК ПДУ с держателем в комплекте, возможность подключения проводного ПДУ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MDSAF-07HRN1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0,684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715*285*194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блок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14 500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923925" cy="695325"/>
                  <wp:effectExtent l="0" t="0" r="0" b="0"/>
                  <wp:wrapNone/>
                  <wp:docPr id="48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4" descr="Гарантия 3 года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008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0C5621" w:rsidRPr="000C5621">
              <w:trPr>
                <w:trHeight w:val="36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MDOAF-07HN1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700*550*275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MDSAF-09HRN1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0,821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715*285*194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MDOAF-09HN1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700*550*275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MDSAF-12HRN1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1,095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805*285*194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MDOAF-12HN1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770*550*300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MDSAF-18HRN1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1,643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957*302*213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MDOAF-18HN1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770*550*300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MDSAF-24HRN1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7,33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2,503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1040*327*220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наружн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.б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лок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44 500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MDOAF-24HN1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845*702*363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11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Cплит-системы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настенного типа серии AURORA ON/OFF,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класса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компрессор GMCC,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возможность установки зимнего комплекта,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 (7-24kBTU),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фотокаталический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тонкой очистки, функция обнаружения утечки хладагента, функция любимый режим, ИК ПДУ с держателем в комплекте, возможность подключения проводного ПДУ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MDSA-07HRN1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0,685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722*290*187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блок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17 900</w:t>
            </w:r>
          </w:p>
        </w:tc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180975</wp:posOffset>
                  </wp:positionV>
                  <wp:extent cx="866775" cy="695325"/>
                  <wp:effectExtent l="0" t="0" r="0" b="0"/>
                  <wp:wrapNone/>
                  <wp:docPr id="59" name="Рисунок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4" descr="Гарантия 3 года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2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4" cy="67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MDOA-07HN1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700*550*275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MDSA-09HRN1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0,821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722*290*187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19 500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MDOA-09HN1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720*495*270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MDSA-12HRN1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1,096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802*297*189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26 500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MDOA-12HN1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770*555*300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MDSA-18HRN1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1,643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965*319*215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MDOA-18HN1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770*555*300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MDSA-24HRN1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2,503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1080*335*226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наружн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.б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лок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MDOA-24HN1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845*702*363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MDSA-30HRN1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9,38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2,739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1259*362*282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MDOA-30HN1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946*810*410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MDSA-36HRN1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3,104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1259*362*282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MDOA-36HN1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946*810*410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125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Cплит-системы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настенного типа серии AURORA ON/OFF с дизайнерскими цветными панелями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Silver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Gold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класса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компрессор GMCC,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возможность установки зимнего комплекта,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фотокаталический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тонкой очистки, функция обнаружения утечки хладагента, функция любимый режим, ИК ПДУ с держателем в комплекте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657225</wp:posOffset>
                  </wp:positionV>
                  <wp:extent cx="1714500" cy="1419225"/>
                  <wp:effectExtent l="0" t="0" r="0" b="0"/>
                  <wp:wrapNone/>
                  <wp:docPr id="5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41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876300</wp:posOffset>
                  </wp:positionV>
                  <wp:extent cx="838200" cy="676275"/>
                  <wp:effectExtent l="0" t="0" r="0" b="0"/>
                  <wp:wrapNone/>
                  <wp:docPr id="50" name="Рисунок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14" descr="Гарантия 3 года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3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0C5621" w:rsidRPr="000C5621">
              <w:trPr>
                <w:trHeight w:val="1125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MDSA-07HRN1 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панель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Gold/Silver indoor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0,685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722*290*187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блок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MDOA-07HN1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700*550*275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MDSA-09HRN1 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панель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Gold/Silver indoor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0,821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722*290*187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MDOA-09HN1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720*495*270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MDSA-12HRN1 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панель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Gold/Silver indoor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1,096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802*297*189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MDOA-12HN1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770*555*300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54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>Сплит-системы</w:t>
            </w:r>
            <w:proofErr w:type="spellEnd"/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ru-RU"/>
              </w:rPr>
              <w:t xml:space="preserve"> инверторные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20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lastRenderedPageBreak/>
              <w:t xml:space="preserve">Инверторные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сплит-системы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настенного типа серии FOREST,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класса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++, компрессор GMCC,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режим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Silent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(Тишина),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фотокаталитический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тонкой очистки, функция обнаружения утечки хладагента, функция любимый режим, ИК ПДУ с держателем в комплекте.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628650</wp:posOffset>
                  </wp:positionV>
                  <wp:extent cx="781050" cy="438150"/>
                  <wp:effectExtent l="0" t="0" r="0" b="0"/>
                  <wp:wrapNone/>
                  <wp:docPr id="62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6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3BFEB95B-8E9F-4A29-9CA4-AA29E183B8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52" cy="42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0C5621" w:rsidRPr="000C5621">
              <w:trPr>
                <w:trHeight w:val="12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538ED5"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0C562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MDSBF-07HRDN1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2,34(1,03-2,93)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2,63(0,82-3,22)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0,73(0,10-1,25)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715*285*194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блок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MDOBF-07HDN1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681*434*285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MDSAF-09HRDN1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2,64(1,03-3,22)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2,93(0,82-3,37)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1,01(0,10-1,24)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715*285*194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895350" cy="733425"/>
                  <wp:effectExtent l="0" t="0" r="0" b="0"/>
                  <wp:wrapNone/>
                  <wp:docPr id="60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1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0C5621" w:rsidRPr="000C5621">
              <w:trPr>
                <w:trHeight w:val="36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MDOAF-09HFN1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770*555*300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MDSAF-12HRDN1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3,52(1,08-4,10)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3,81(1,08-4,22)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1,297(0,13-1,58)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805*285*194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31 500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MDOAF-12HFN1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770*555*300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MDSAF-18HRFN1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5,28(1,82-6,13)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5,57(1,38-6,74)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1,643(0,14-2,36)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957*302*213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MDOAF-18HFN1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800*554*333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MDSAF-24HRFN1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7,03(2,67-7,88)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7,33(1,61-8,79)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2,344(0,24-3,03)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1040*327*220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наружн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.б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лок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MDOAF-24HFN1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845*702*363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32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Полностью инверторные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сплит-системы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настенного типа серии AURORA,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класса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++, компрессор GMCC,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защита помещения от замораживания (8°С), режим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Silent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(Тишина),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комбинированный фильтр тонкой очистки, функция обнаружения утечки хладагента, функция любимый режим, ИК ПДУ с держателем в комплекте, возможность подключения проводного ПДУ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2228850" cy="752475"/>
                  <wp:effectExtent l="0" t="0" r="0" b="0"/>
                  <wp:wrapNone/>
                  <wp:docPr id="5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MDSA-09HRFN1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2,78(2,14-3,52)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3,08(1,27-3,99)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0,795(0,442-1,568)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722*290*187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блок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895350" cy="723900"/>
                  <wp:effectExtent l="0" t="0" r="0" b="0"/>
                  <wp:wrapNone/>
                  <wp:docPr id="58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0C5621" w:rsidRPr="000C5621">
              <w:trPr>
                <w:trHeight w:val="36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MDOA-09HFN1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720*495*270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MDSA-12HRFN1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3,52(1,38-4,51)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3,81(1,08-4,92)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1,088(0,10-1,74)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802*297*189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MDOA-12HFN1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800*554*333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MDSA-18HRFN1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5,28(1,91-6,13)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5,57(1,43-6,74)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1,643(0,15-2,35)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965*319*215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MDOA-18HFN1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800*554*333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MDSA-24HRFN1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7,03(2,67-8,09)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7,91(2,20-9,29)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2,19(0,23-3,11)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1080*335*226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наружн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.б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лок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447675</wp:posOffset>
                  </wp:positionV>
                  <wp:extent cx="2305050" cy="762000"/>
                  <wp:effectExtent l="0" t="0" r="0" b="0"/>
                  <wp:wrapNone/>
                  <wp:docPr id="64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3761E03B-F75C-4700-854D-20A4E2FF3C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95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571500</wp:posOffset>
                  </wp:positionV>
                  <wp:extent cx="781050" cy="438150"/>
                  <wp:effectExtent l="0" t="0" r="0" b="0"/>
                  <wp:wrapNone/>
                  <wp:docPr id="67" name="Рисунок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6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B3A22AF3-B37E-4C61-864C-29942BE83E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52" cy="42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0C5621" w:rsidRPr="000C5621">
              <w:trPr>
                <w:trHeight w:val="207"/>
                <w:tblCellSpacing w:w="0" w:type="dxa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C56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68 900</w:t>
                  </w:r>
                </w:p>
              </w:tc>
            </w:tr>
            <w:tr w:rsidR="000C5621" w:rsidRPr="000C5621">
              <w:trPr>
                <w:trHeight w:val="20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MDOA-24HFN1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845*702*363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324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Полностью инверторные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сплит-системы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настенного типа серии AURORA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Design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класса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++, компрессор GMCC,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защита помещения от замораживания (8°С), режим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Silent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(Тишина),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комбинированный фильтр тонкой очистки, функция обнаружения утечки хладагента, функция любимый режим, ИК ПДУ с держателем в комплекте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828675</wp:posOffset>
                  </wp:positionV>
                  <wp:extent cx="1323975" cy="1104900"/>
                  <wp:effectExtent l="0" t="0" r="0" b="0"/>
                  <wp:wrapNone/>
                  <wp:docPr id="66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9D197C4C-6196-4795-906F-F31F2C6933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112" cy="1101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857250</wp:posOffset>
                  </wp:positionV>
                  <wp:extent cx="895350" cy="714375"/>
                  <wp:effectExtent l="0" t="0" r="0" b="0"/>
                  <wp:wrapNone/>
                  <wp:docPr id="65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477B3557-A620-4DCA-BA39-6E4509C1AE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0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2009775</wp:posOffset>
                  </wp:positionV>
                  <wp:extent cx="2257425" cy="1019175"/>
                  <wp:effectExtent l="0" t="0" r="0" b="0"/>
                  <wp:wrapNone/>
                  <wp:docPr id="5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98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0C5621" w:rsidRPr="000C5621">
              <w:trPr>
                <w:trHeight w:val="1324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MDSA-09HRFN1 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панель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Gold/Silver indoor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2,78(2,14-3,52)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3,08(1,27-3,99)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0,795(0,442-1,568)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722*290*187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блок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MDOA-09HFN1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720*495*270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MDSA-12HRFN1 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панель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Gold/Silver indoor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3,52(1,38-4,51)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3,81(1,08-4,92)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1,088(0,10-1,74)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802*297*189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MDOA-12HFN1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800*554*333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207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Cплит-системы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настенного типа серии OP,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ультравысокий уровень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+++, компрессор GMCC,  функция "умный глаз" (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Intelligent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Eye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), работа в режиме обогрева даже при -30°С, работа в режиме охлаждения от -25°С,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функция обнаружения утечки хладагента,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Air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(вертикальные и горизонтальные жалюзи с управлением с пульта), контроль уровня влажности, защита от замораживания помещения (8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°С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и 12°С), режим ECO,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Wi-Fi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управление (опция), режим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Silent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(Тишина),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фотокаталитический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тонкой очистки, автоматическая регулировка яркости дисплея внутреннего блока, фиксаторы положения для лёгкого обслуживания, ИК ПДУ с держателем в комплекте, возможность подключения проводного ПДУ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MDSOP-09HRFN8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2,64(1,00-4,16)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4,10(0,75-7,00)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0,483(0,087~1,955)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895*298*248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блок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69 900</w:t>
            </w:r>
          </w:p>
        </w:tc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114300</wp:posOffset>
                  </wp:positionV>
                  <wp:extent cx="828675" cy="676275"/>
                  <wp:effectExtent l="0" t="0" r="0" b="0"/>
                  <wp:wrapNone/>
                  <wp:docPr id="54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11" descr="Гарантия 5 лет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1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MDOOP-09HFN8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800*554*333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MDSOP-12HRFN8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3,52(1,03-4,82)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4,25(0,75-7,20)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0,75(0,102~1,955)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895*298*248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72 900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MDOOP-12HFN8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800*554*333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ED5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Опции для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сплит-систем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361950" cy="342900"/>
                  <wp:effectExtent l="0" t="0" r="0" b="0"/>
                  <wp:wrapNone/>
                  <wp:docPr id="49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1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EU-OSK102-1</w:t>
            </w:r>
          </w:p>
        </w:tc>
        <w:tc>
          <w:tcPr>
            <w:tcW w:w="8323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Wi-Fi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модуль (опция для серий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Forest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 OP)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2 800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57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МУЛЬТИ-СПЛИТ СИСТЕМЫ СВОБОДНОЙ КОМПЛЕКТАЦИИ СЕРИИ FREE MATCH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  <w:tr w:rsidR="000C5621" w:rsidRPr="000C5621" w:rsidTr="000C5621">
        <w:trPr>
          <w:trHeight w:val="57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lastRenderedPageBreak/>
              <w:t xml:space="preserve">Наружные блоки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мульти-сплит-систем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серии </w:t>
            </w: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eastAsia="ru-RU"/>
              </w:rPr>
              <w:t xml:space="preserve">FREE MATCH,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eastAsia="ru-RU"/>
              </w:rPr>
              <w:t>энергоэффективность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eastAsia="ru-RU"/>
              </w:rPr>
              <w:t xml:space="preserve"> класса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eastAsia="ru-RU"/>
              </w:rPr>
              <w:t>++</w:t>
            </w: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</wp:posOffset>
                  </wp:positionV>
                  <wp:extent cx="923925" cy="742950"/>
                  <wp:effectExtent l="0" t="0" r="0" b="0"/>
                  <wp:wrapNone/>
                  <wp:docPr id="4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20" name="Рисунок 16" descr="Гарантия на компрессор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040C04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98" cy="74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0C5621" w:rsidRPr="000C5621">
              <w:trPr>
                <w:trHeight w:val="57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MD2O-14HFN1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4,10(2,05-4,10)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4,4(2,20-4,40)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800*554*333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наружн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.б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лок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MD2O-18HFN1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5,28(2,05-5,28)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5,57(2,05-5,57)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800*554*333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76 600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MD3O-21HFN1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6,15(2,05-6,15)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6,59(2,34-6,59)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845*702*363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80 600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MD3O-27HFN1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7,91(2,05-7,91)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8,21(2,34-8,21)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845*702*363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83 300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MD4O-28HFN1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8,21(1,47-8,21)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8,79(1,47-8,79)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946*810*410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MD4O-36HFN1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10,55(2,05-10,55)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11,14(2,05-11,14)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946*810*410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156 000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MD5O-42HFN1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12,31(2,05-12,31)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12,31(2,05-12,31)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946*810*410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219075</wp:posOffset>
                  </wp:positionV>
                  <wp:extent cx="1590675" cy="76200"/>
                  <wp:effectExtent l="0" t="0" r="0" b="0"/>
                  <wp:wrapNone/>
                  <wp:docPr id="47" name="AutoShape 3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096126" y="24317324"/>
                            <a:ext cx="1447799" cy="1"/>
                            <a:chOff x="7096126" y="24317324"/>
                            <a:chExt cx="1447799" cy="1"/>
                          </a:xfrm>
                        </a:grpSpPr>
                        <a:sp>
                          <a:nvSpPr>
                            <a:cNvPr id="20" name="AutoShape 3732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B00-000014000000}"/>
                                </a:ext>
                              </a:extLst>
                            </a:cNvPr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648951" y="24584024"/>
                              <a:ext cx="1352549" cy="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100" b="1" i="0" u="none" strike="noStrike" baseline="0">
                                    <a:solidFill>
                                      <a:schemeClr val="tx2"/>
                                    </a:solidFill>
                                    <a:latin typeface="Calibri"/>
                                  </a:rPr>
                                  <a:t>! </a:t>
                                </a:r>
                                <a:r>
                                  <a:rPr lang="en-US" sz="1100" b="1" i="0" u="none" strike="noStrike" baseline="0">
                                    <a:solidFill>
                                      <a:schemeClr val="tx2"/>
                                    </a:solidFill>
                                    <a:latin typeface="Calibri"/>
                                  </a:rPr>
                                  <a:t> </a:t>
                                </a:r>
                                <a:r>
                                  <a:rPr lang="ru-RU" sz="1100" b="1" i="0" u="none" strike="noStrike" baseline="0">
                                    <a:solidFill>
                                      <a:schemeClr val="tx2"/>
                                    </a:solidFill>
                                    <a:latin typeface="Calibri"/>
                                  </a:rPr>
                                  <a:t>выгодная цена, наличие уточнять у</a:t>
                                </a:r>
                                <a:r>
                                  <a:rPr lang="en-US" sz="1100" b="1" i="0" u="none" strike="noStrike" baseline="0">
                                    <a:solidFill>
                                      <a:schemeClr val="tx2"/>
                                    </a:solidFill>
                                    <a:latin typeface="Calibri"/>
                                  </a:rPr>
                                  <a:t> </a:t>
                                </a:r>
                                <a:r>
                                  <a:rPr lang="ru-RU" sz="1100" b="1" i="0" u="none" strike="noStrike" baseline="0">
                                    <a:solidFill>
                                      <a:schemeClr val="tx2"/>
                                    </a:solidFill>
                                    <a:latin typeface="Calibri"/>
                                  </a:rPr>
                                  <a:t>менеджеров</a:t>
                                </a:r>
                                <a:endParaRPr lang="ru-RU" sz="1100" b="0" i="0" u="none" strike="noStrike" baseline="0">
                                  <a:solidFill>
                                    <a:schemeClr val="tx2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100" b="0" i="0" u="none" strike="noStrike" baseline="0">
                                  <a:solidFill>
                                    <a:srgbClr val="0066CC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781050</wp:posOffset>
                  </wp:positionV>
                  <wp:extent cx="781050" cy="438150"/>
                  <wp:effectExtent l="0" t="0" r="0" b="0"/>
                  <wp:wrapNone/>
                  <wp:docPr id="63" name="Рисунок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6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20C2FBE3-7C18-4C7D-BE55-2328E9ACA8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52" cy="42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0"/>
            </w:tblGrid>
            <w:tr w:rsidR="000C5621" w:rsidRPr="000C5621">
              <w:trPr>
                <w:trHeight w:val="4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C562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161 000</w:t>
                  </w: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11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Внутренние блоки инверторные настенного типа серии FOREST,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класса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++, компрессор GMCC,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самоочистки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режим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Silent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(Тишина),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фотокаталитический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тонкой очистки, функция обнаружения утечки хладагента, функция любимый режим, ИК ПДУ с держателем в комплекте, возможность подключения проводного ПДУ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MDSAF-07HRDN1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805*285*194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11 100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MDSAF-09HRDN1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715*285*194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11 400</w:t>
            </w:r>
          </w:p>
        </w:tc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838200" cy="657225"/>
                  <wp:effectExtent l="0" t="0" r="0" b="0"/>
                  <wp:wrapNone/>
                  <wp:docPr id="61" name="Рисунок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4" descr="Гарантия 3 года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2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3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MDSAF-12HRDN1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805*285*194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11 500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MDSAF-18HRFN1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957*302*213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14 500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20"/>
        </w:trPr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MDSAF-24HRFN1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7,33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1040*327*220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08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Внутренние блоки полностью инверторные настенного типа серии AURORA,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защита помещения от замораживания (8°С),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комбинированный фильтр тонкой очистки, функция любимый режим, ИК ПДУ с держателем в комплекте, возможность подключения проводного ПДУ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MDSA-09HRFN1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722*290*187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838200" cy="676275"/>
                  <wp:effectExtent l="0" t="0" r="0" b="0"/>
                  <wp:wrapNone/>
                  <wp:docPr id="55" name="Рисунок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14" descr="Гарантия 3 года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2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3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MDSA-12HRFN1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802*297*189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12 100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MDSA-18HRFN1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965*319*215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15 300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20"/>
        </w:trPr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MDSA-24HRFN1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7,91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1080*335*226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16 500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114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Внутренние блоки кассетного типа, компактные (570х570),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встроенная помпа, ИК ПДУ с держателем в комплекте, функция любимый режим,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температурная компенсация, возможность подключения проводного пульта, возможность подключения к системе центрального управления и диспетчеризации, клеммы удаленного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вкл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, клеммы вывода сигнала аварии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MDCA4I-09HRFN1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570*260*570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питание по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межбл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абелю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25 700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ru-RU"/>
              </w:rPr>
              <w:t>T-MBQ4-03EI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Compact Cassette Panel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647*50*647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828675" cy="676275"/>
                  <wp:effectExtent l="0" t="0" r="0" b="0"/>
                  <wp:wrapNone/>
                  <wp:docPr id="56" name="Рисунок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4" descr="Гарантия 3 года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2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3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MDCA4I-12HRFN1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570*260*570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26 500</w:t>
            </w: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ru-RU"/>
              </w:rPr>
              <w:t>T-MBQ4-03EI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Compact Cassette Panel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647*50*647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MDCA4I-18HRFN1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570*260*570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29 400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ru-RU"/>
              </w:rPr>
              <w:t>T-MBQ4-03EI</w:t>
            </w: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Compact Cassette Panel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647*50*647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MDCA3I-18HRFN1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570*260*570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питание по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межбл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абелю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29 400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T-MBQ4-03FI Compact Cassette Panel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647*50*647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MDCA3I-18HRDN1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570*260*570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29 400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T-MBQ4-03FI Compact Cassette Panel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647*50*647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87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Внутренние блоки канального типа, средненапорные, модели нового поколения - 3D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фильтр в комплекте, возможность подключения к системе центрального управления или диспетчеризации, опциональный ИК ПДУ, функция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Follow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me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, клеммы удаленного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вкл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выкл</w:t>
            </w:r>
            <w:proofErr w:type="spellEnd"/>
            <w:proofErr w:type="gram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, клеммы вывода сигнала аварии, проводной пульт ДУ в комплекте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323850</wp:posOffset>
                  </wp:positionV>
                  <wp:extent cx="838200" cy="666750"/>
                  <wp:effectExtent l="0" t="0" r="0" b="0"/>
                  <wp:wrapNone/>
                  <wp:docPr id="57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4" descr="Гарантия 3 года.jpg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B00-00002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3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</w:tblGrid>
            <w:tr w:rsidR="000C5621" w:rsidRPr="000C5621">
              <w:trPr>
                <w:trHeight w:val="87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5621" w:rsidRPr="000C5621" w:rsidRDefault="000C5621" w:rsidP="000C56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MDTII-09HWFN1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700*200*450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питание по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межбл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абелю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22 600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MDTII-12HWFN1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700*200*450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24 600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MDTII-18HWFN1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880*210*674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28 600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630"/>
        </w:trPr>
        <w:tc>
          <w:tcPr>
            <w:tcW w:w="11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lastRenderedPageBreak/>
              <w:t xml:space="preserve">Внутренние блоки консольного типа, 3D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DC-Inverter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стандарта ERP,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противопылевой</w:t>
            </w:r>
            <w:proofErr w:type="spellEnd"/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фильтр высокой плотности, ИК ПДУ с держателем в комплекте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0C5621" w:rsidRPr="000C5621" w:rsidTr="000C5621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MDFFI-12HRFN1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indoor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700*600*210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питание по </w:t>
            </w:r>
            <w:proofErr w:type="spell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межбл</w:t>
            </w:r>
            <w:proofErr w:type="gramStart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0C5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абелю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26 900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621" w:rsidRPr="000C5621" w:rsidRDefault="000C5621" w:rsidP="000C5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5621" w:rsidRPr="000C5621" w:rsidTr="000C5621">
        <w:trPr>
          <w:trHeight w:val="405"/>
        </w:trPr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C562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 xml:space="preserve">*** </w:t>
            </w:r>
            <w:r w:rsidRPr="000C562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Данные модели сняты с производства, наличие уточняйте у менеджеров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21" w:rsidRPr="000C5621" w:rsidRDefault="000C5621" w:rsidP="000C562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A13472" w:rsidRDefault="007F5814"/>
    <w:sectPr w:rsidR="00A13472" w:rsidSect="000C5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621"/>
    <w:rsid w:val="000C5621"/>
    <w:rsid w:val="001B4B35"/>
    <w:rsid w:val="00211383"/>
    <w:rsid w:val="00310BE5"/>
    <w:rsid w:val="004D702A"/>
    <w:rsid w:val="007F5814"/>
    <w:rsid w:val="009B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21"/>
    <w:rPr>
      <w:color w:val="800080"/>
      <w:u w:val="single"/>
    </w:rPr>
  </w:style>
  <w:style w:type="paragraph" w:customStyle="1" w:styleId="font5">
    <w:name w:val="font5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font7">
    <w:name w:val="font7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u w:val="single"/>
      <w:lang w:eastAsia="ru-RU"/>
    </w:rPr>
  </w:style>
  <w:style w:type="paragraph" w:customStyle="1" w:styleId="font8">
    <w:name w:val="font8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font9">
    <w:name w:val="font9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75">
    <w:name w:val="xl75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0C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xl78">
    <w:name w:val="xl78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C5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C56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C562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C56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0C562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0C5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0C5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0C56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0C56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0C56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0C56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0C562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04">
    <w:name w:val="xl104"/>
    <w:basedOn w:val="a"/>
    <w:rsid w:val="000C562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eastAsia="ru-RU"/>
    </w:rPr>
  </w:style>
  <w:style w:type="paragraph" w:customStyle="1" w:styleId="xl105">
    <w:name w:val="xl105"/>
    <w:basedOn w:val="a"/>
    <w:rsid w:val="000C562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0C562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eastAsia="ru-RU"/>
    </w:rPr>
  </w:style>
  <w:style w:type="paragraph" w:customStyle="1" w:styleId="xl107">
    <w:name w:val="xl107"/>
    <w:basedOn w:val="a"/>
    <w:rsid w:val="000C56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C56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C5621"/>
    <w:pPr>
      <w:pBdr>
        <w:top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0C562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0C56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133">
    <w:name w:val="xl133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0C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0C562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0C5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0C56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0C56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0C56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0C56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0C562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32"/>
      <w:szCs w:val="32"/>
      <w:lang w:eastAsia="ru-RU"/>
    </w:rPr>
  </w:style>
  <w:style w:type="paragraph" w:customStyle="1" w:styleId="xl148">
    <w:name w:val="xl148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eastAsia="ru-RU"/>
    </w:rPr>
  </w:style>
  <w:style w:type="paragraph" w:customStyle="1" w:styleId="xl151">
    <w:name w:val="xl151"/>
    <w:basedOn w:val="a"/>
    <w:rsid w:val="000C56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eastAsia="ru-RU"/>
    </w:rPr>
  </w:style>
  <w:style w:type="paragraph" w:customStyle="1" w:styleId="xl152">
    <w:name w:val="xl152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0C5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0C56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eastAsia="ru-RU"/>
    </w:rPr>
  </w:style>
  <w:style w:type="paragraph" w:customStyle="1" w:styleId="xl156">
    <w:name w:val="xl156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0C5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0C562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0C5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0C56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0C56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0C5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0C5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0C562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0C56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  <w:lang w:eastAsia="ru-RU"/>
    </w:rPr>
  </w:style>
  <w:style w:type="paragraph" w:customStyle="1" w:styleId="xl167">
    <w:name w:val="xl167"/>
    <w:basedOn w:val="a"/>
    <w:rsid w:val="000C56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  <w:lang w:eastAsia="ru-RU"/>
    </w:rPr>
  </w:style>
  <w:style w:type="paragraph" w:customStyle="1" w:styleId="xl168">
    <w:name w:val="xl168"/>
    <w:basedOn w:val="a"/>
    <w:rsid w:val="000C56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  <w:lang w:eastAsia="ru-RU"/>
    </w:rPr>
  </w:style>
  <w:style w:type="paragraph" w:customStyle="1" w:styleId="xl169">
    <w:name w:val="xl169"/>
    <w:basedOn w:val="a"/>
    <w:rsid w:val="000C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0C56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0C562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0C562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0C56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76">
    <w:name w:val="xl176"/>
    <w:basedOn w:val="a"/>
    <w:rsid w:val="000C562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0C56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78">
    <w:name w:val="xl178"/>
    <w:basedOn w:val="a"/>
    <w:rsid w:val="000C562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C56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0C56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0C56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0C562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0C5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0C56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92">
    <w:name w:val="xl192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93">
    <w:name w:val="xl193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94">
    <w:name w:val="xl194"/>
    <w:basedOn w:val="a"/>
    <w:rsid w:val="000C56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95">
    <w:name w:val="xl195"/>
    <w:basedOn w:val="a"/>
    <w:rsid w:val="000C56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96">
    <w:name w:val="xl196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97">
    <w:name w:val="xl197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98">
    <w:name w:val="xl198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199">
    <w:name w:val="xl199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00">
    <w:name w:val="xl200"/>
    <w:basedOn w:val="a"/>
    <w:rsid w:val="000C56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01">
    <w:name w:val="xl201"/>
    <w:basedOn w:val="a"/>
    <w:rsid w:val="000C56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0C56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03">
    <w:name w:val="xl203"/>
    <w:basedOn w:val="a"/>
    <w:rsid w:val="000C56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05">
    <w:name w:val="xl205"/>
    <w:basedOn w:val="a"/>
    <w:rsid w:val="000C5621"/>
    <w:pPr>
      <w:pBdr>
        <w:top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06">
    <w:name w:val="xl206"/>
    <w:basedOn w:val="a"/>
    <w:rsid w:val="000C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07">
    <w:name w:val="xl207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08">
    <w:name w:val="xl208"/>
    <w:basedOn w:val="a"/>
    <w:rsid w:val="000C5621"/>
    <w:pPr>
      <w:pBdr>
        <w:top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09">
    <w:name w:val="xl209"/>
    <w:basedOn w:val="a"/>
    <w:rsid w:val="000C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10">
    <w:name w:val="xl210"/>
    <w:basedOn w:val="a"/>
    <w:rsid w:val="000C562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0C56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0C562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3">
    <w:name w:val="xl213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C562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0C56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17">
    <w:name w:val="xl217"/>
    <w:basedOn w:val="a"/>
    <w:rsid w:val="000C5621"/>
    <w:pPr>
      <w:pBdr>
        <w:top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18">
    <w:name w:val="xl218"/>
    <w:basedOn w:val="a"/>
    <w:rsid w:val="000C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19">
    <w:name w:val="xl219"/>
    <w:basedOn w:val="a"/>
    <w:rsid w:val="000C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0C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0C562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23">
    <w:name w:val="xl223"/>
    <w:basedOn w:val="a"/>
    <w:rsid w:val="000C5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24">
    <w:name w:val="xl224"/>
    <w:basedOn w:val="a"/>
    <w:rsid w:val="000C562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5">
    <w:name w:val="xl225"/>
    <w:basedOn w:val="a"/>
    <w:rsid w:val="000C56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6">
    <w:name w:val="xl226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27">
    <w:name w:val="xl227"/>
    <w:basedOn w:val="a"/>
    <w:rsid w:val="000C5621"/>
    <w:pPr>
      <w:pBdr>
        <w:top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28">
    <w:name w:val="xl228"/>
    <w:basedOn w:val="a"/>
    <w:rsid w:val="000C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29">
    <w:name w:val="xl229"/>
    <w:basedOn w:val="a"/>
    <w:rsid w:val="000C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0">
    <w:name w:val="xl230"/>
    <w:basedOn w:val="a"/>
    <w:rsid w:val="000C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1">
    <w:name w:val="xl231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C562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0C56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0C56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6">
    <w:name w:val="xl236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0C56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8">
    <w:name w:val="xl238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0C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0">
    <w:name w:val="xl240"/>
    <w:basedOn w:val="a"/>
    <w:rsid w:val="000C562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41">
    <w:name w:val="xl241"/>
    <w:basedOn w:val="a"/>
    <w:rsid w:val="000C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3">
    <w:name w:val="xl243"/>
    <w:basedOn w:val="a"/>
    <w:rsid w:val="000C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">
    <w:name w:val="xl245"/>
    <w:basedOn w:val="a"/>
    <w:rsid w:val="000C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6">
    <w:name w:val="xl246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8">
    <w:name w:val="xl248"/>
    <w:basedOn w:val="a"/>
    <w:rsid w:val="000C56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50">
    <w:name w:val="xl250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52">
    <w:name w:val="xl252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54">
    <w:name w:val="xl254"/>
    <w:basedOn w:val="a"/>
    <w:rsid w:val="000C562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0C56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0C56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C56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0C562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0">
    <w:name w:val="xl260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1">
    <w:name w:val="xl261"/>
    <w:basedOn w:val="a"/>
    <w:rsid w:val="000C5621"/>
    <w:pPr>
      <w:pBdr>
        <w:bottom w:val="single" w:sz="4" w:space="0" w:color="auto"/>
        <w:right w:val="single" w:sz="8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2">
    <w:name w:val="xl262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eastAsia="ru-RU"/>
    </w:rPr>
  </w:style>
  <w:style w:type="paragraph" w:customStyle="1" w:styleId="xl263">
    <w:name w:val="xl263"/>
    <w:basedOn w:val="a"/>
    <w:rsid w:val="000C5621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eastAsia="ru-RU"/>
    </w:rPr>
  </w:style>
  <w:style w:type="paragraph" w:customStyle="1" w:styleId="xl264">
    <w:name w:val="xl264"/>
    <w:basedOn w:val="a"/>
    <w:rsid w:val="000C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eastAsia="ru-RU"/>
    </w:rPr>
  </w:style>
  <w:style w:type="paragraph" w:customStyle="1" w:styleId="xl265">
    <w:name w:val="xl265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66">
    <w:name w:val="xl266"/>
    <w:basedOn w:val="a"/>
    <w:rsid w:val="000C5621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67">
    <w:name w:val="xl267"/>
    <w:basedOn w:val="a"/>
    <w:rsid w:val="000C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ru-RU"/>
    </w:rPr>
  </w:style>
  <w:style w:type="paragraph" w:customStyle="1" w:styleId="xl268">
    <w:name w:val="xl268"/>
    <w:basedOn w:val="a"/>
    <w:rsid w:val="000C562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0C562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0">
    <w:name w:val="xl270"/>
    <w:basedOn w:val="a"/>
    <w:rsid w:val="000C56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71">
    <w:name w:val="xl271"/>
    <w:basedOn w:val="a"/>
    <w:rsid w:val="000C5621"/>
    <w:pPr>
      <w:pBdr>
        <w:top w:val="single" w:sz="8" w:space="0" w:color="auto"/>
        <w:bottom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72">
    <w:name w:val="xl272"/>
    <w:basedOn w:val="a"/>
    <w:rsid w:val="000C56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73">
    <w:name w:val="xl273"/>
    <w:basedOn w:val="a"/>
    <w:rsid w:val="000C562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74">
    <w:name w:val="xl274"/>
    <w:basedOn w:val="a"/>
    <w:rsid w:val="000C56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0C56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76">
    <w:name w:val="xl276"/>
    <w:basedOn w:val="a"/>
    <w:rsid w:val="000C56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277">
    <w:name w:val="xl277"/>
    <w:basedOn w:val="a"/>
    <w:rsid w:val="000C5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8">
    <w:name w:val="xl278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9">
    <w:name w:val="xl279"/>
    <w:basedOn w:val="a"/>
    <w:rsid w:val="000C5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0">
    <w:name w:val="xl280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81">
    <w:name w:val="xl281"/>
    <w:basedOn w:val="a"/>
    <w:rsid w:val="000C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82">
    <w:name w:val="xl282"/>
    <w:basedOn w:val="a"/>
    <w:rsid w:val="000C56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283">
    <w:name w:val="xl283"/>
    <w:basedOn w:val="a"/>
    <w:rsid w:val="000C56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84">
    <w:name w:val="xl284"/>
    <w:basedOn w:val="a"/>
    <w:rsid w:val="000C562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0C56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86">
    <w:name w:val="xl286"/>
    <w:basedOn w:val="a"/>
    <w:rsid w:val="000C56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87">
    <w:name w:val="xl287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8">
    <w:name w:val="xl288"/>
    <w:basedOn w:val="a"/>
    <w:rsid w:val="000C562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xl289">
    <w:name w:val="xl289"/>
    <w:basedOn w:val="a"/>
    <w:rsid w:val="000C56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90">
    <w:name w:val="xl290"/>
    <w:basedOn w:val="a"/>
    <w:rsid w:val="000C562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91">
    <w:name w:val="xl291"/>
    <w:basedOn w:val="a"/>
    <w:rsid w:val="000C56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0C56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0C562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0C56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5">
    <w:name w:val="xl295"/>
    <w:basedOn w:val="a"/>
    <w:rsid w:val="000C5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1849</Words>
  <Characters>10540</Characters>
  <Application>Microsoft Office Word</Application>
  <DocSecurity>0</DocSecurity>
  <Lines>87</Lines>
  <Paragraphs>24</Paragraphs>
  <ScaleCrop>false</ScaleCrop>
  <Company>Microsoft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2020-02-29T10:14:00Z</dcterms:created>
  <dcterms:modified xsi:type="dcterms:W3CDTF">2020-02-29T10:14:00Z</dcterms:modified>
</cp:coreProperties>
</file>